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370 StPO — Entscheidung über die Begründetheit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 auf Wiederaufnahme des Verfahrens wird ohne mündliche Verhandlung als unbegründet verworfen, wenn die darin aufgestellten Behauptungen keine genügende Bestätigung gefunden haben oder wenn in den Fällen des § 359 Nr. 1 und 2 oder des § 362 Nr. 1 und 2 nach Lage der Sache die Annahme ausgeschlossen ist, daß die in diesen Vorschriften bezeichnete Handlung auf die Entscheidung Einfluß gehabt hat.</w:t>
      </w:r>
    </w:p>
    <w:p>
      <w:r>
        <w:t xml:space="preserve">(2) Andernfalls ordnet das Gericht die Wiederaufnahme des Verfahrens und die Erneuerung der Hauptverhandlung an.</w:t>
      </w:r>
    </w:p>
    <w:p>
      <w:r>
        <w:rPr>
          <w:color w:val="555555"/>
          <w:sz w:val="17"/>
        </w:rPr>
        <w:t xml:space="preserve">Zitiervorschlag: § 370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