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366 StPO — Inhalt und Form des Antrags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dem Antrag müssen der gesetzliche Grund der Wiederaufnahme des Verfahrens sowie die Beweismittel angegeben werden.</w:t>
      </w:r>
    </w:p>
    <w:p>
      <w:r>
        <w:t xml:space="preserve">(2) Von dem Angeklagten und den in § 361 Abs. 2 bezeichneten Personen kann der Antrag nur mittels einer von dem Verteidiger oder einem Rechtsanwalt unterzeichneten Schrift oder zu Protokoll der Geschäftsstelle angebracht werden.</w:t>
      </w:r>
    </w:p>
    <w:p>
      <w:r>
        <w:rPr>
          <w:color w:val="555555"/>
          <w:sz w:val="17"/>
        </w:rPr>
        <w:t xml:space="preserve">Zitiervorschlag: § 366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