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364 StPO — Behauptung einer Straftat</w:t>
      </w:r>
    </w:p>
    <w:p>
      <w:r>
        <w:rPr>
          <w:color w:val="555555"/>
          <w:sz w:val="18"/>
        </w:rPr>
        <w:t xml:space="preserve">Strafprozeßordnung</w:t>
      </w:r>
    </w:p>
    <w:p>
      <w:r>
        <w:rPr>
          <w:color w:val="555555"/>
          <w:sz w:val="18"/>
        </w:rPr>
        <w:t xml:space="preserve">Stand: 10.06.2019 (konsolidierte Textfassung, kein amtliches Inkrafttretensdatum)</w:t>
      </w:r>
    </w:p>
    <w:p>
      <w:r>
        <w:t xml:space="preserve">Ein Antrag auf Wiederaufnahme des Verfahrens, der auf die Behauptung einer Straftat gegründet werden soll, ist nur dann zulässig, wenn wegen dieser Tat eine rechtskräftige Verurteilung ergangen ist oder wenn die Einleitung oder Durchführung eines Strafverfahrens aus anderen Gründen als wegen Mangels an Beweis nicht erfolgen kann. Dies gilt nicht im Falle des § 359 Nr. 5.</w:t>
      </w:r>
    </w:p>
    <w:p>
      <w:r>
        <w:rPr>
          <w:color w:val="555555"/>
          <w:sz w:val="17"/>
        </w:rPr>
        <w:t xml:space="preserve">Zitiervorschlag: § 364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https://recht.nulegal.eu/gesetze/StPO/364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