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35a StPO — Rechtsmittelbelehrung</w:t>
      </w:r>
    </w:p>
    <w:p>
      <w:r>
        <w:rPr>
          <w:color w:val="555555"/>
          <w:sz w:val="18"/>
        </w:rPr>
        <w:t xml:space="preserve">Strafprozeßordnung</w:t>
      </w:r>
    </w:p>
    <w:p>
      <w:r>
        <w:rPr>
          <w:color w:val="555555"/>
          <w:sz w:val="18"/>
        </w:rPr>
        <w:t xml:space="preserve">Stand: 10.06.2019 (konsolidierte Textfassung, kein amtliches Inkrafttretensdatum)</w:t>
      </w:r>
    </w:p>
    <w:p>
      <w:r>
        <w:t xml:space="preserve">Bei der Bekanntmachung einer Entscheidung, die durch ein befristetes Rechtsmittel angefochten werden kann, ist der Betroffene über die Möglichkeiten der Anfechtung und die dafür vorgeschriebenen Fristen und Formen zu belehren. Bei der Bekanntmachung eines Urteils ist der Angeklagte auch über die Rechtsfolgen des § 40 Absatz 3 und des § 350 Absatz 2 sowie, wenn gegen das Urteil Berufung zulässig ist, über die Rechtsfolgen der §§ 329 und 330 zu belehren. Ist einem Urteil eine Verständigung (§ 257c) vorausgegangen, ist der Betroffene auch darüber zu belehren, dass er in jedem Fall frei in seiner Entscheidung ist, ein Rechtsmittel einzulegen.</w:t>
      </w:r>
    </w:p>
    <w:p>
      <w:r>
        <w:rPr>
          <w:color w:val="555555"/>
          <w:sz w:val="17"/>
        </w:rPr>
        <w:t xml:space="preserve">Zitiervorschlag: § 35a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