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352 StPO — Umfang der Urteilsprüfung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Prüfung des Revisionsgerichts unterliegen nur die gestellten Revisionsanträge und, soweit die Revision auf Mängel des Verfahrens gestützt wird, nur die Tatsachen, die bei Anbringung der Revisionsanträge bezeichnet worden sind.</w:t>
      </w:r>
    </w:p>
    <w:p>
      <w:r>
        <w:t xml:space="preserve">(2) Eine weitere Begründung der Revisionsanträge als die in § 344 Abs. 2 vorgeschriebene ist nicht erforderlich und, wenn sie unrichtig ist, unschädlich.</w:t>
      </w:r>
    </w:p>
    <w:p>
      <w:r>
        <w:rPr>
          <w:color w:val="555555"/>
          <w:sz w:val="17"/>
        </w:rPr>
        <w:t xml:space="preserve">Zitiervorschlag: § 352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