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349 StPO — Entscheidung ohne Hauptverhandlung durch Beschluss</w:t>
      </w:r>
    </w:p>
    <w:p>
      <w:r>
        <w:rPr>
          <w:color w:val="555555"/>
          <w:sz w:val="18"/>
        </w:rPr>
        <w:t xml:space="preserve">Strafprozeßordnung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Erachtet das Revisionsgericht die Vorschriften über die Einlegung der Revision oder die über die Anbringung der Revisionsanträge nicht für beobachtet, so kann es das Rechtsmittel durch Beschluß als unzulässig verwerfen.</w:t>
      </w:r>
    </w:p>
    <w:p>
      <w:r>
        <w:t xml:space="preserve">(2) Das Revisionsgericht kann auf einen Antrag der Staatsanwaltschaft, der zu begründen ist, auch dann durch Beschluß entscheiden, wenn es die Revision einstimmig für offensichtlich unbegründet erachtet.</w:t>
      </w:r>
    </w:p>
    <w:p>
      <w:r>
        <w:t xml:space="preserve">(3) Die Staatsanwaltschaft teilt den Antrag nach Absatz 2 mit den Gründen dem Beschwerdeführer mit. Der Beschwerdeführer kann binnen zwei Wochen eine schriftliche Gegenerklärung beim Revisionsgericht einreichen.</w:t>
      </w:r>
    </w:p>
    <w:p>
      <w:r>
        <w:t xml:space="preserve">(4) Erachtet das Revisionsgericht die zugunsten des Angeklagten eingelegte Revision einstimmig für begründet, so kann es das angefochtene Urteil durch Beschluß aufheben.</w:t>
      </w:r>
    </w:p>
    <w:p>
      <w:r>
        <w:t xml:space="preserve">(5) Wendet das Revisionsgericht Absatz 1, 2 oder 4 nicht an, so entscheidet es über das Rechtsmittel durch Urteil.</w:t>
      </w:r>
    </w:p>
    <w:p>
      <w:r>
        <w:rPr>
          <w:color w:val="555555"/>
          <w:sz w:val="17"/>
        </w:rPr>
        <w:t xml:space="preserve">Zitiervorschlag: § 349 StPO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https://recht.nulegal.eu/gesetze/StPO/349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