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345 StPO — Revisionsbegründungsfrist</w:t>
      </w:r>
    </w:p>
    <w:p>
      <w:r>
        <w:rPr>
          <w:color w:val="555555"/>
          <w:sz w:val="18"/>
        </w:rPr>
        <w:t xml:space="preserve">Strafprozeßordnung</w:t>
      </w:r>
    </w:p>
    <w:p>
      <w:r>
        <w:rPr>
          <w:color w:val="555555"/>
          <w:sz w:val="18"/>
        </w:rPr>
        <w:t xml:space="preserve">Stand: 01.07.2021 (konsolidierte Textfassung, kein amtliches Inkrafttretensdatum)</w:t>
      </w:r>
    </w:p>
    <w:p>
      <w:r>
        <w:t xml:space="preserve">(1) Die Revisionsanträge und ihre Begründung sind spätestens binnen eines Monats nach Ablauf der Frist zur Einlegung des Rechtsmittels bei dem Gericht, dessen Urteil angefochten wird, anzubringen. Die Revisionsbegründungsfrist verlängert sich, wenn das Urteil später als einundzwanzig Wochen nach der Verkündung zu den Akten gebracht worden ist, um einen Monat und, wenn es später als fünfunddreißig Wochen nach der Verkündung zu den Akten gebracht worden ist, um einen weiteren Monat. War bei Ablauf der Frist zur Einlegung des Rechtsmittels das Urteil noch nicht zugestellt, so beginnt die Frist mit der Zustellung des Urteils und in den Fällen des Satzes 2 der Mitteilung des Zeitpunktes, zu dem es zu den Akten gebracht ist.</w:t>
      </w:r>
    </w:p>
    <w:p>
      <w:r>
        <w:t xml:space="preserve">(2) Seitens des Angeklagten kann dies nur in einer von dem Verteidiger oder einem Rechtsanwalt unterzeichneten Schrift oder zu Protokoll der Geschäftsstelle geschehen.</w:t>
      </w:r>
    </w:p>
    <w:p>
      <w:r>
        <w:rPr>
          <w:color w:val="555555"/>
          <w:sz w:val="17"/>
        </w:rPr>
        <w:t xml:space="preserve">Zitiervorschlag: § 345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