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343 StPO — Hemmung der Rechtskraft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rechtzeitige Einlegung der Revision wird die Rechtskraft des Urteils, soweit es angefochten ist, gehemmt.</w:t>
      </w:r>
    </w:p>
    <w:p>
      <w:r>
        <w:t xml:space="preserve">(2) Dem Beschwerdeführer, dem das Urteil mit den Gründen noch nicht zugestellt war, ist es nach Einlegung der Revision zuzustellen.</w:t>
      </w:r>
    </w:p>
    <w:p>
      <w:r>
        <w:rPr>
          <w:color w:val="555555"/>
          <w:sz w:val="17"/>
        </w:rPr>
        <w:t xml:space="preserve">Zitiervorschlag: § 343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