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337 StPO — Revisionsgründe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Revision kann nur darauf gestützt werden, daß das Urteil auf einer Verletzung des Gesetzes beruhe.</w:t>
      </w:r>
    </w:p>
    <w:p>
      <w:r>
        <w:t xml:space="preserve">(2) Das Gesetz ist verletzt, wenn eine Rechtsnorm nicht oder nicht richtig angewendet worden ist.</w:t>
      </w:r>
    </w:p>
    <w:p>
      <w:r>
        <w:rPr>
          <w:color w:val="555555"/>
          <w:sz w:val="17"/>
        </w:rPr>
        <w:t xml:space="preserve">Zitiervorschlag: § 337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