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331 StPO — Verbot der Verschlechterung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Urteil darf in Art und Höhe der Rechtsfolgen der Tat nicht zum Nachteil des Angeklagten geändert werden, wenn lediglich der Angeklagte, zu seinen Gunsten die Staatsanwaltschaft oder sein gesetzlicher Vertreter Berufung eingelegt hat.</w:t>
      </w:r>
    </w:p>
    <w:p>
      <w:r>
        <w:t xml:space="preserve">(2) Diese Vorschrift steht der Anordnung der Unterbringung in einem psychiatrischen Krankenhaus oder einer Entziehungsanstalt nicht entgegen.</w:t>
      </w:r>
    </w:p>
    <w:p>
      <w:r>
        <w:rPr>
          <w:color w:val="555555"/>
          <w:sz w:val="17"/>
        </w:rPr>
        <w:t xml:space="preserve">Zitiervorschlag: § 331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