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 StPO — Maßnahmen bei Berufung des gesetzlichen Vertreters</w:t>
      </w:r>
    </w:p>
    <w:p>
      <w:r>
        <w:rPr>
          <w:color w:val="555555"/>
          <w:sz w:val="18"/>
        </w:rPr>
        <w:t xml:space="preserve">Strafprozeßordnung</w:t>
      </w:r>
    </w:p>
    <w:p>
      <w:r>
        <w:rPr>
          <w:color w:val="555555"/>
          <w:sz w:val="18"/>
        </w:rPr>
        <w:t xml:space="preserve">Stand: 01.07.2021 (konsolidierte Textfassung, kein amtliches Inkrafttretensdatum)</w:t>
      </w:r>
    </w:p>
    <w:p>
      <w:r>
        <w:t xml:space="preserve">(1) Ist von dem gesetzlichen Vertreter die Berufung eingelegt worden, so hat das Gericht auch den Angeklagten zu der Hauptverhandlung zu laden.</w:t>
      </w:r>
    </w:p>
    <w:p>
      <w:r>
        <w:t xml:space="preserve">(2) Bleibt allein der gesetzliche Vertreter in der Hauptverhandlung aus, so ist ohne ihn zu verhandeln. Ist weder der gesetzliche Vertreter noch der Angeklagte noch ein Verteidiger mit nachgewiesener Vertretungsvollmacht bei Beginn eines Hauptverhandlungstermins erschienen, so gilt § 329 Absatz 1 Satz 1 entsprechend; ist lediglich der Angeklagte nicht erschienen, so gilt § 329 Absatz 2 und 3 entsprechend.</w:t>
      </w:r>
    </w:p>
    <w:p>
      <w:r>
        <w:rPr>
          <w:color w:val="555555"/>
          <w:sz w:val="17"/>
        </w:rPr>
        <w:t xml:space="preserve">Zitiervorschlag: § 330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