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32d StPO — Pflicht zur elektronischen Übermittlung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Verteidiger und Rechtsanwälte sollen den Strafverfolgungsbehörden und Gerichten Schriftsätze und deren Anlagen sowie schriftlich einzureichende Anträge und Erklärungen als elektronisches Dokument übermitteln. Die folgenden Dokumente müssen sie elektronisch übermitteln:</w:t>
      </w:r>
    </w:p>
    <w:p>
      <w:pPr>
        <w:ind w:left="420"/>
      </w:pPr>
      <w:r>
        <w:t xml:space="preserve">1. die Berufung, ihre Begründung und ihre Rücknahme,</w:t>
      </w:r>
    </w:p>
    <w:p>
      <w:pPr>
        <w:ind w:left="420"/>
      </w:pPr>
      <w:r>
        <w:t xml:space="preserve">2. die Revision, ihre Begründung, ihre Rücknahme und die Gegenerklärung,</w:t>
      </w:r>
    </w:p>
    <w:p>
      <w:pPr>
        <w:ind w:left="420"/>
      </w:pPr>
      <w:r>
        <w:t xml:space="preserve">3. den Einspruch gegen den Strafbefehl und seine Rücknahme,</w:t>
      </w:r>
    </w:p>
    <w:p>
      <w:pPr>
        <w:ind w:left="420"/>
      </w:pPr>
      <w:r>
        <w:t xml:space="preserve">4. die Privatklage und</w:t>
      </w:r>
    </w:p>
    <w:p>
      <w:pPr>
        <w:ind w:left="420"/>
      </w:pPr>
      <w:r>
        <w:t xml:space="preserve">5. die Anschlusserklärung bei der Nebenklage.</w:t>
      </w:r>
    </w:p>
    <w:p>
      <w:r>
        <w:t xml:space="preserve">Ist dies aus technischen Gründen vorübergehend nicht möglich, ist die Übermittlung in Papierform zulässig. Die vorübergehende Unmöglichkeit ist bei der Ersatzeinreichung oder unverzüglich danach glaubhaft zu machen; auf Anforderung ist ein elektronisches Dokument nachzureichen.</w:t>
      </w:r>
    </w:p>
    <w:p>
      <w:r>
        <w:rPr>
          <w:color w:val="555555"/>
          <w:sz w:val="17"/>
        </w:rPr>
        <w:t xml:space="preserve">Zitiervorschlag: § 32d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