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328 StPO — Inhalt des Berufungsurteils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 Berufung für begründet befunden wird, hat das Berufungsgericht unter Aufhebung des Urteils in der Sache selbst zu erkennen.</w:t>
      </w:r>
    </w:p>
    <w:p>
      <w:r>
        <w:t xml:space="preserve">(2) Hat das Gericht des ersten Rechtszuges mit Unrecht seine Zuständigkeit angenommen, so hat das Berufungsgericht unter Aufhebung des Urteils die Sache an das zuständige Gericht zu verweisen.</w:t>
      </w:r>
    </w:p>
    <w:p>
      <w:r>
        <w:rPr>
          <w:color w:val="555555"/>
          <w:sz w:val="17"/>
        </w:rPr>
        <w:t xml:space="preserve">Zitiervorschlag: § 328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