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322 StPO — Verwerfung ohne Hauptverhandlung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Erachtet das Berufungsgericht die Vorschriften über die Einlegung der Berufung nicht für beobachtet, so kann es das Rechtsmittel durch Beschluß als unzulässig verwerfen. Andernfalls entscheidet es darüber durch Urteil; § 322a bleibt unberührt.</w:t>
      </w:r>
    </w:p>
    <w:p>
      <w:r>
        <w:t xml:space="preserve">(2) Der Beschluß kann mit sofortiger Beschwerde angefochten werden.</w:t>
      </w:r>
    </w:p>
    <w:p>
      <w:r>
        <w:rPr>
          <w:color w:val="555555"/>
          <w:sz w:val="17"/>
        </w:rPr>
        <w:t xml:space="preserve">Zitiervorschlag: § 322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https://recht.nulegal.eu/gesetze/StPO/322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