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319 StPO — Verspätete Einlegung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Berufung verspätet eingelegt, so hat das Gericht des ersten Rechtszuges das Rechtsmittel als unzulässig zu verwerfen.</w:t>
      </w:r>
    </w:p>
    <w:p>
      <w:r>
        <w:t xml:space="preserve">(2) Der Beschwerdeführer kann binnen einer Woche nach Zustellung des Beschlusses auf die Entscheidung des Berufungsgerichts antragen. In diesem Falle sind die Akten an das Berufungsgericht einzusenden; die Vollstreckung des Urteils wird jedoch hierdurch nicht gehemmt. Die Vorschrift des § 35a gilt entsprechend.</w:t>
      </w:r>
    </w:p>
    <w:p>
      <w:r>
        <w:rPr>
          <w:color w:val="555555"/>
          <w:sz w:val="17"/>
        </w:rPr>
        <w:t xml:space="preserve">Zitiervorschlag: § 319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