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315 StPO — Berufung und Wiedereinsetzungsantrag</w:t>
      </w:r>
    </w:p>
    <w:p>
      <w:r>
        <w:rPr>
          <w:color w:val="555555"/>
          <w:sz w:val="18"/>
        </w:rPr>
        <w:t xml:space="preserve">Strafprozeßordnung</w:t>
      </w:r>
    </w:p>
    <w:p>
      <w:r>
        <w:rPr>
          <w:color w:val="555555"/>
          <w:sz w:val="18"/>
        </w:rPr>
        <w:t xml:space="preserve">Stand: 10.06.2019 (konsolidierte Textfassung, kein amtliches Inkrafttretensdatum)</w:t>
      </w:r>
    </w:p>
    <w:p>
      <w:r>
        <w:t xml:space="preserve">(1) Der Beginn der Frist zur Einlegung der Berufung wird dadurch nicht ausgeschlossen, daß gegen ein auf Ausbleiben des Angeklagten ergangenes Urteil eine Wiedereinsetzung in den vorigen Stand nachgesucht werden kann.</w:t>
      </w:r>
    </w:p>
    <w:p>
      <w:r>
        <w:t xml:space="preserve">(2) Stellt der Angeklagte einen Antrag auf Wiedereinsetzung in den vorigen Stand, so wird die Berufung dadurch gewahrt, daß sie sofort für den Fall der Verwerfung jenes Antrags rechtzeitig eingelegt wird. Die weitere Verfügung in bezug auf die Berufung bleibt dann bis zur Erledigung des Antrags auf Wiedereinsetzung in den vorigen Stand ausgesetzt.</w:t>
      </w:r>
    </w:p>
    <w:p>
      <w:r>
        <w:t xml:space="preserve">(3) Die Einlegung der Berufung ohne Verbindung mit dem Antrag auf Wiedereinsetzung in den vorigen Stand gilt als Verzicht auf die letztere.</w:t>
      </w:r>
    </w:p>
    <w:p>
      <w:r>
        <w:rPr>
          <w:color w:val="555555"/>
          <w:sz w:val="17"/>
        </w:rPr>
        <w:t xml:space="preserve">Zitiervorschlag: § 315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https://recht.nulegal.eu/gesetze/StPO/315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