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309 StPO — Entscheidung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die Beschwerde ergeht ohne mündliche Verhandlung, in geeigneten Fällen nach Anhörung der Staatsanwaltschaft.</w:t>
      </w:r>
    </w:p>
    <w:p>
      <w:r>
        <w:t xml:space="preserve">(2) Wird die Beschwerde für begründet erachtet, so erläßt das Beschwerdegericht zugleich die in der Sache erforderliche Entscheidung.</w:t>
      </w:r>
    </w:p>
    <w:p>
      <w:r>
        <w:rPr>
          <w:color w:val="555555"/>
          <w:sz w:val="17"/>
        </w:rPr>
        <w:t xml:space="preserve">Zitiervorschlag: § 309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