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StPO — Befugnisse des Beschwerdegerichts</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Beschwerdegericht darf die angefochtene Entscheidung nicht zum Nachteil des Gegners des Beschwerdeführers ändern, ohne daß diesem die Beschwerde zur Gegenerklärung mitgeteilt worden ist. Dies gilt nicht in den Fällen des § 33 Abs. 4 Satz 1.</w:t>
      </w:r>
    </w:p>
    <w:p>
      <w:r>
        <w:t xml:space="preserve">(2) Das Beschwerdegericht kann Ermittlungen anordnen oder selbst vornehmen.</w:t>
      </w:r>
    </w:p>
    <w:p>
      <w:r>
        <w:rPr>
          <w:color w:val="555555"/>
          <w:sz w:val="17"/>
        </w:rPr>
        <w:t xml:space="preserve">Zitiervorschlag: § 308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