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306 StPO — Einlegung; Abhilfeverfahren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wird bei dem Gericht, von dem oder von dessen Vorsitzenden die angefochtene Entscheidung erlassen ist, zu Protokoll der Geschäftsstelle oder schriftlich eingelegt.</w:t>
      </w:r>
    </w:p>
    <w:p>
      <w:r>
        <w:t xml:space="preserve">(2) Erachtet das Gericht oder der Vorsitzende, dessen Entscheidung angefochten wird, die Beschwerde für begründet, so haben sie ihr abzuhelfen; andernfalls ist die Beschwerde sofort, spätestens vor Ablauf von drei Tagen, dem Beschwerdegericht vorzulegen.</w:t>
      </w:r>
    </w:p>
    <w:p>
      <w:r>
        <w:t xml:space="preserve">(3) Diese Vorschriften gelten auch für die Entscheidungen des Richters im Vorverfahren und des beauftragten oder ersuchten Richters.</w:t>
      </w:r>
    </w:p>
    <w:p>
      <w:r>
        <w:rPr>
          <w:color w:val="555555"/>
          <w:sz w:val="17"/>
        </w:rPr>
        <w:t xml:space="preserve">Zitiervorschlag: § 306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