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305a StPO — Beschwerde gegen Strafaussetzungsbeschluss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Beschluß nach § 268a Abs. 1, 2 ist Beschwerde zulässig. Sie kann nur darauf gestützt werden, daß eine getroffene Anordnung gesetzwidrig ist.</w:t>
      </w:r>
    </w:p>
    <w:p>
      <w:r>
        <w:t xml:space="preserve">(2) Wird gegen den Beschluß Beschwerde und gegen das Urteil eine zulässige Revision eingelegt, so ist das Revisionsgericht auch zur Entscheidung über die Beschwerde zuständig.</w:t>
      </w:r>
    </w:p>
    <w:p>
      <w:r>
        <w:rPr>
          <w:color w:val="555555"/>
          <w:sz w:val="17"/>
        </w:rPr>
        <w:t xml:space="preserve">Zitiervorschlag: § 305a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https://recht.nulegal.eu/gesetze/StPO/305a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