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293 StPO — Aufhebung der Beschlagnahme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Beschlagnahme ist aufzuheben, wenn ihre Gründe weggefallen sind.</w:t>
      </w:r>
    </w:p>
    <w:p>
      <w:r>
        <w:t xml:space="preserve">(2) Die Aufhebung der Beschlagnahme ist auf dieselbe Weise bekannt zu machen, wie die Bekanntmachung der Beschlagnahme. Ist die Veröffentlichung nach § 291 im Bundesanzeiger erfolgt, ist zudem deren Löschung zu veranlassen; die Veröffentlichung der Aufhebung der Beschlagnahme im Bundesanzeiger ist nach Ablauf von einem Monat zu löschen.</w:t>
      </w:r>
    </w:p>
    <w:p>
      <w:r>
        <w:rPr>
          <w:color w:val="555555"/>
          <w:sz w:val="17"/>
        </w:rPr>
        <w:t xml:space="preserve">Zitiervorschlag: § 293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