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292 StPO — Wirkung der Bekanntmachung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Zeitpunkt der ersten Bekanntmachung im Bundesanzeiger verliert der Angeschuldigte das Recht, über das in Beschlag genommene Vermögen unter Lebenden zu verfügen.</w:t>
      </w:r>
    </w:p>
    <w:p>
      <w:r>
        <w:t xml:space="preserve">(2) Der die Beschlagnahme verhängende Beschluß ist der Behörde mitzuteilen, die für die Einleitung einer Pflegschaft über Abwesende zuständig ist. Diese Behörde hat eine Pflegschaft einzuleiten.</w:t>
      </w:r>
    </w:p>
    <w:p>
      <w:r>
        <w:rPr>
          <w:color w:val="555555"/>
          <w:sz w:val="17"/>
        </w:rPr>
        <w:t xml:space="preserve">Zitiervorschlag: § 292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