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 StPO — Veränderung des rechtlichen Gesichtspunktes oder der Sachlage</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Angeklagte darf nicht auf Grund eines anderen als des in der gerichtlich zugelassenen Anklage angeführten Strafgesetzes verurteilt werden, ohne daß er zuvor auf die Veränderung des rechtlichen Gesichtspunktes besonders hingewiesen und ihm Gelegenheit zur Verteidigung gegeben worden ist.</w:t>
      </w:r>
    </w:p>
    <w:p>
      <w:r>
        <w:t xml:space="preserve">(2) Ebenso ist zu verfahren, wenn</w:t>
      </w:r>
    </w:p>
    <w:p>
      <w:pPr>
        <w:ind w:left="420"/>
      </w:pPr>
      <w:r>
        <w:t xml:space="preserve">1. sich erst in der Verhandlung vom Strafgesetz besonders vorgesehene Umstände ergeben, welche die Strafbarkeit erhöhen oder die Anordnung einer Maßnahme oder die Verhängung einer Nebenstrafe oder Nebenfolge rechtfertigen,</w:t>
      </w:r>
    </w:p>
    <w:p>
      <w:pPr>
        <w:ind w:left="420"/>
      </w:pPr>
      <w:r>
        <w:t xml:space="preserve">2. das Gericht von einer in der Verhandlung mitgeteilten vorläufigen Bewertung der Sach- oder Rechtslage abweichen will oder</w:t>
      </w:r>
    </w:p>
    <w:p>
      <w:pPr>
        <w:ind w:left="420"/>
      </w:pPr>
      <w:r>
        <w:t xml:space="preserve">3. der Hinweis auf eine veränderte Sachlage zur genügenden Verteidigung des Angeklagten erforderlich ist.</w:t>
      </w:r>
    </w:p>
    <w:p>
      <w:r>
        <w:t xml:space="preserve">(3) Bestreitet der Angeklagte unter der Behauptung, auf die Verteidigung nicht genügend vorbereitet zu sein, neu hervorgetretene Umstände, welche die Anwendung eines schwereren Strafgesetzes gegen den Angeklagten zulassen als des in der gerichtlich zugelassenen Anklage angeführten oder die zu den in Absatz 2 Nummer 1 bezeichneten gehören, so ist auf seinen Antrag die Hauptverhandlung auszusetzen.</w:t>
      </w:r>
    </w:p>
    <w:p>
      <w:r>
        <w:t xml:space="preserve">(4) Auch sonst hat das Gericht auf Antrag oder von Amts wegen die Hauptverhandlung auszusetzen, falls dies infolge der veränderten Sachlage zur genügenden Vorbereitung der Anklage oder der Verteidigung angemessen erscheint.</w:t>
      </w:r>
    </w:p>
    <w:p>
      <w:r>
        <w:rPr>
          <w:color w:val="555555"/>
          <w:sz w:val="17"/>
        </w:rPr>
        <w:t xml:space="preserve">Zitiervorschlag: § 265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