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264 StPO — Gegenstand des Urteils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Urteilsfindung ist die in der Anklage bezeichnete Tat, wie sie sich nach dem Ergebnis der Verhandlung darstellt.</w:t>
      </w:r>
    </w:p>
    <w:p>
      <w:r>
        <w:t xml:space="preserve">(2) Das Gericht ist an die Beurteilung der Tat, die dem Beschluß über die Eröffnung des Hauptverfahrens zugrunde liegt, nicht gebunden.</w:t>
      </w:r>
    </w:p>
    <w:p>
      <w:r>
        <w:rPr>
          <w:color w:val="555555"/>
          <w:sz w:val="17"/>
        </w:rPr>
        <w:t xml:space="preserve">Zitiervorschlag: § 264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