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263 StPO — Abstimmung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jeder dem Angeklagten nachteiligen Entscheidung über die Schuldfrage und die Rechtsfolgen der Tat ist eine Mehrheit von zwei Dritteln der Stimmen erforderlich.</w:t>
      </w:r>
    </w:p>
    <w:p>
      <w:r>
        <w:t xml:space="preserve">(2) Die Schuldfrage umfaßt auch solche vom Strafgesetz besonders vorgesehene Umstände, welche die Strafbarkeit ausschließen, vermindern oder erhöhen.</w:t>
      </w:r>
    </w:p>
    <w:p>
      <w:r>
        <w:t xml:space="preserve">(3) Die Schuldfrage umfaßt nicht die Voraussetzungen der Verjährung.</w:t>
      </w:r>
    </w:p>
    <w:p>
      <w:r>
        <w:rPr>
          <w:color w:val="555555"/>
          <w:sz w:val="17"/>
        </w:rPr>
        <w:t xml:space="preserve">Zitiervorschlag: § 263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