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StPO — Ablehnungsverfahren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Das Ablehnungsgesuch ist bei dem Gericht, dem der Richter angehört, anzubringen; es kann vor der Geschäftsstelle zu Protokoll erklärt werden. Das Gericht kann dem Antragsteller aufgeben, ein in der Hauptverhandlung angebrachtes Ablehnungsgesuch innerhalb einer angemessenen Frist schriftlich zu begründen.</w:t>
      </w:r>
    </w:p>
    <w:p>
      <w:r>
        <w:t xml:space="preserve">(2) Der Ablehnungsgrund und in den Fällen des § 25 Absatz 1 Satz 2 und Absatz 2 die Voraussetzungen des rechtzeitigen Vorbringens sind glaubhaft zu machen. Der Eid ist als Mittel der Glaubhaftmachung ausgeschlossen. Zur Glaubhaftmachung kann auf das Zeugnis des abgelehnten Richters Bezug genommen werden.</w:t>
      </w:r>
    </w:p>
    <w:p>
      <w:r>
        <w:t xml:space="preserve">(3) Der abgelehnte Richter hat sich über den Ablehnungsgrund dienstlich zu äußern.</w:t>
      </w:r>
    </w:p>
    <w:p>
      <w:r>
        <w:rPr>
          <w:color w:val="555555"/>
          <w:sz w:val="17"/>
        </w:rPr>
        <w:t xml:space="preserve">Zitiervorschlag: § 26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