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256 StPO — Verlesung der Erklärungen von Behörden und Sachverständigen</w:t>
      </w:r>
    </w:p>
    <w:p>
      <w:r>
        <w:rPr>
          <w:color w:val="555555"/>
          <w:sz w:val="18"/>
        </w:rPr>
        <w:t xml:space="preserve">Strafprozeßordnung</w:t>
      </w:r>
    </w:p>
    <w:p>
      <w:r>
        <w:rPr>
          <w:color w:val="555555"/>
          <w:sz w:val="18"/>
        </w:rPr>
        <w:t xml:space="preserve">Stand: 10.06.2019 (konsolidierte Textfassung, kein amtliches Inkrafttretensdatum)</w:t>
      </w:r>
    </w:p>
    <w:p>
      <w:r>
        <w:t xml:space="preserve">(1) Verlesen werden können</w:t>
      </w:r>
    </w:p>
    <w:p>
      <w:pPr>
        <w:ind w:left="420"/>
      </w:pPr>
      <w:r>
        <w:t xml:space="preserve">1. die ein Zeugnis oder ein Gutachten enthaltenden Erklärungen</w:t>
      </w:r>
    </w:p>
    <w:p>
      <w:pPr>
        <w:ind w:left="780"/>
      </w:pPr>
      <w:r>
        <w:t xml:space="preserve">a) öffentlicher Behörden,</w:t>
      </w:r>
    </w:p>
    <w:p>
      <w:pPr>
        <w:ind w:left="780"/>
      </w:pPr>
      <w:r>
        <w:t xml:space="preserve">b) der Sachverständigen, die für die Erstellung von Gutachten der betreffenden Art allgemein vereidigt sind, sowie</w:t>
      </w:r>
    </w:p>
    <w:p>
      <w:pPr>
        <w:ind w:left="780"/>
      </w:pPr>
      <w:r>
        <w:t xml:space="preserve">c) der Ärzte eines gerichtsärztlichen Dienstes mit Ausschluss von Leumundszeugnissen,</w:t>
      </w:r>
    </w:p>
    <w:p>
      <w:pPr>
        <w:ind w:left="420"/>
      </w:pPr>
      <w:r>
        <w:t xml:space="preserve">2. unabhängig vom Tatvorwurf ärztliche Atteste über Körperverletzungen,</w:t>
      </w:r>
    </w:p>
    <w:p>
      <w:pPr>
        <w:ind w:left="420"/>
      </w:pPr>
      <w:r>
        <w:t xml:space="preserve">3. ärztliche Berichte zur Entnahme von Blutproben,</w:t>
      </w:r>
    </w:p>
    <w:p>
      <w:pPr>
        <w:ind w:left="420"/>
      </w:pPr>
      <w:r>
        <w:t xml:space="preserve">4. Gutachten über die Auswertung eines Fahrtschreibers, die Bestimmung der Blutgruppe oder des Blutalkoholgehalts einschließlich seiner Rückrechnung,</w:t>
      </w:r>
    </w:p>
    <w:p>
      <w:pPr>
        <w:ind w:left="420"/>
      </w:pPr>
      <w:r>
        <w:t xml:space="preserve">5. Protokolle sowie in einer Urkunde enthaltene Erklärungen der Strafverfolgungsbehörden über Ermittlungshandlungen, soweit diese nicht eine Vernehmung zum Gegenstand haben und</w:t>
      </w:r>
    </w:p>
    <w:p>
      <w:pPr>
        <w:ind w:left="420"/>
      </w:pPr>
      <w:r>
        <w:t xml:space="preserve">6. Übertragungsnachweise und Vermerke nach § 32e Absatz 3.</w:t>
      </w:r>
    </w:p>
    <w:p>
      <w:r>
        <w:t xml:space="preserve">(2) Ist das Gutachten einer kollegialen Fachbehörde eingeholt worden, so kann das Gericht die Behörde ersuchen, eines ihrer Mitglieder mit der Vertretung des Gutachtens in der Hauptverhandlung zu beauftragen und dem Gericht zu bezeichnen.</w:t>
      </w:r>
    </w:p>
    <w:p>
      <w:r>
        <w:rPr>
          <w:color w:val="555555"/>
          <w:sz w:val="17"/>
        </w:rPr>
        <w:t xml:space="preserve">Zitiervorschlag: § 256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