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StPO — Ablehnung eines Richters; Besorgnis der Befangenheit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Richter kann sowohl in den Fällen, in denen er von der Ausübung des Richteramtes kraft Gesetzes ausgeschlossen ist, als auch wegen Besorgnis der Befangenheit abgelehnt werden.</w:t>
      </w:r>
    </w:p>
    <w:p>
      <w:r>
        <w:t xml:space="preserve">(2) Wegen Besorgnis der Befangenheit findet die Ablehnung statt, wenn ein Grund vorliegt, der geeignet ist, Mißtrauen gegen die Unparteilichkeit eines Richters zu rechtfertigen.</w:t>
      </w:r>
    </w:p>
    <w:p>
      <w:r>
        <w:t xml:space="preserve">(3) Das Ablehnungsrecht steht der Staatsanwaltschaft, dem Privatkläger und dem Beschuldigten zu. Den zur Ablehnung Berechtigten sind auf Verlangen die zur Mitwirkung bei der Entscheidung berufenen Gerichtspersonen namhaft zu machen.</w:t>
      </w:r>
    </w:p>
    <w:p>
      <w:r>
        <w:rPr>
          <w:color w:val="555555"/>
          <w:sz w:val="17"/>
        </w:rPr>
        <w:t xml:space="preserve">Zitiervorschlag: § 24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