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233 StPO — Entbindung des Angeklagten von der Pflicht zum Erscheinen</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Angeklagte kann auf seinen Antrag von der Verpflichtung zum Erscheinen in der Hauptverhandlung entbunden werden, wenn nur Freiheitsstrafe bis zu sechs Monaten, Geldstrafe bis zu einhundertachtzig Tagessätzen, Verwarnung mit Strafvorbehalt, Fahrverbot, Einziehung, Vernichtung oder Unbrauchbarmachung, allein oder nebeneinander, zu erwarten ist. Eine höhere Strafe oder eine Maßregel der Besserung und Sicherung darf in seiner Abwesenheit nicht verhängt werden. Die Entziehung der Fahrerlaubnis ist zulässig.</w:t>
      </w:r>
    </w:p>
    <w:p>
      <w:r>
        <w:t xml:space="preserve">(2) Wird der Angeklagte von der Verpflichtung zum Erscheinen in der Hauptverhandlung entbunden, so muß er durch einen beauftragten oder ersuchten Richter über die Anklage vernommen werden. Dabei wird er über die bei Verhandlung in seiner Abwesenheit zulässigen Rechtsfolgen belehrt sowie befragt, ob er seinen Antrag auf Befreiung vom Erscheinen in der Hauptverhandlung aufrechterhalte. Statt eines Ersuchens oder einer Beauftragung nach Satz 1 kann außerhalb der Hauptverhandlung auch das Gericht die Vernehmung über die Anklage in der Weise durchführen, dass sich der Angeklagte an einem anderen Ort als das Gericht aufhält und die Vernehmung zeitgleich in Bild und Ton an den Ort, an dem sich der Angeklagte aufhält, und in das Sitzungszimmer übertragen wird.</w:t>
      </w:r>
    </w:p>
    <w:p>
      <w:r>
        <w:t xml:space="preserve">(3) Von dem zum Zweck der Vernehmung anberaumten Termin sind die Staatsanwaltschaft und der Verteidiger zu benachrichtigen; ihrer Anwesenheit bei der Vernehmung bedarf es nicht. Das Protokoll über die Vernehmung ist in der Hauptverhandlung zu verlesen.</w:t>
      </w:r>
    </w:p>
    <w:p>
      <w:r>
        <w:rPr>
          <w:color w:val="555555"/>
          <w:sz w:val="17"/>
        </w:rPr>
        <w:t xml:space="preserve">Zitiervorschlag: § 233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https://recht.nulegal.eu/gesetze/StPO/233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