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228 StPO — Aussetzung und Unterbrechung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Aussetzung einer Hauptverhandlung oder deren Unterbrechung nach § 229 Abs. 2 entscheidet das Gericht. Kürzere Unterbrechungen ordnet der Vorsitzende an.</w:t>
      </w:r>
    </w:p>
    <w:p>
      <w:r>
        <w:t xml:space="preserve">(2) Eine Verhinderung des Verteidigers gibt, unbeschadet der Vorschrift des § 145, dem Angeklagten kein Recht, die Aussetzung der Verhandlung zu verlangen.</w:t>
      </w:r>
    </w:p>
    <w:p>
      <w:r>
        <w:t xml:space="preserve">(3) Ist die Frist des § 217 Abs. 1 nicht eingehalten worden, so soll der Vorsitzende den Angeklagten mit der Befugnis, Aussetzung der Verhandlung zu verlangen, bekanntmachen.</w:t>
      </w:r>
    </w:p>
    <w:p>
      <w:r>
        <w:rPr>
          <w:color w:val="555555"/>
          <w:sz w:val="17"/>
        </w:rPr>
        <w:t xml:space="preserve">Zitiervorschlag: § 228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