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222 StPO — Namhaftmachung von Zeugen und Sachverständigen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Das Gericht hat die geladenen Zeugen und Sachverständigen der Staatsanwaltschaft und dem Angeklagten rechtzeitig namhaft zu machen. Macht die Staatsanwaltschaft von ihrem Recht nach § 214 Abs. 3 Gebrauch, so hat sie die geladenen Zeugen und Sachverständigen dem Gericht und dem Angeklagten rechtzeitig namhaft zu machen. § 200 Abs. 1 Satz 3 bis 5 gilt sinngemäß.</w:t>
      </w:r>
    </w:p>
    <w:p>
      <w:r>
        <w:t xml:space="preserve">(2) Der Angeklagte hat die von ihm unmittelbar geladenen oder zur Hauptverhandlung zu stellenden Zeugen und Sachverständigen rechtzeitig dem Gericht und der Staatsanwaltschaft namhaft zu machen und ihre vollständige Anschrift anzugeben.</w:t>
      </w:r>
    </w:p>
    <w:p>
      <w:r>
        <w:rPr>
          <w:color w:val="555555"/>
          <w:sz w:val="17"/>
        </w:rPr>
        <w:t xml:space="preserve">Zitiervorschlag: § 222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