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217 StPO — Ladungsfrist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Zwischen der Zustellung der Ladung (§ 216) und dem Tag der Hauptverhandlung muß eine Frist von mindestens einer Woche liegen.</w:t>
      </w:r>
    </w:p>
    <w:p>
      <w:r>
        <w:t xml:space="preserve">(2) Ist die Frist nicht eingehalten worden, so kann der Angeklagte bis zum Beginn seiner Vernehmung zur Sache die Aussetzung der Verhandlung verlangen.</w:t>
      </w:r>
    </w:p>
    <w:p>
      <w:r>
        <w:t xml:space="preserve">(3) Der Angeklagte kann auf die Einhaltung der Frist verzichten.</w:t>
      </w:r>
    </w:p>
    <w:p>
      <w:r>
        <w:rPr>
          <w:color w:val="555555"/>
          <w:sz w:val="17"/>
        </w:rPr>
        <w:t xml:space="preserve">Zitiervorschlag: § 217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https://recht.nulegal.eu/gesetze/StPO/217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