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 StPO — Ladung des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Ladung eines auf freiem Fuß befindlichen Angeklagten geschieht schriftlich unter der Warnung, daß im Falle seines unentschuldigten Ausbleibens seine Verhaftung oder Vorführung erfolgen werde. Die Warnung kann in den Fällen des § 232 unterbleiben.</w:t>
      </w:r>
    </w:p>
    <w:p>
      <w:r>
        <w:t xml:space="preserve">(2) Der nicht auf freiem Fuß befindliche Angeklagte wird durch Bekanntmachung des Termins zur Hauptverhandlung gemäß § 35 geladen. Dabei ist der Angeklagte zu befragen, ob und welche Anträge er zu seiner Verteidigung für die Hauptverhandlung zu stellen habe.</w:t>
      </w:r>
    </w:p>
    <w:p>
      <w:r>
        <w:rPr>
          <w:color w:val="555555"/>
          <w:sz w:val="17"/>
        </w:rPr>
        <w:t xml:space="preserve">Zitiervorschlag: § 216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