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209a StPO — Besondere funktionelle Zuständigkeiten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des § 4 Abs. 2, des § 209 sowie des § 210 Abs. 2 stehen</w:t>
      </w:r>
    </w:p>
    <w:p>
      <w:pPr>
        <w:ind w:left="420"/>
      </w:pPr>
      <w:r>
        <w:t xml:space="preserve">1. die besonderen Strafkammern nach § 74 Abs. 2 sowie den §§ 74a und 74c des Gerichtsverfassungsgesetzes für ihren Bezirk gegenüber den allgemeinen Strafkammern und untereinander in der in § 74e des Gerichtsverfassungsgesetzes bezeichneten Rangfolge und</w:t>
      </w:r>
    </w:p>
    <w:p>
      <w:pPr>
        <w:ind w:left="420"/>
      </w:pPr>
      <w:r>
        <w:t xml:space="preserve">2. die Jugendgerichte für die Entscheidung, ob Sachen</w:t>
      </w:r>
    </w:p>
    <w:p>
      <w:pPr>
        <w:ind w:left="780"/>
      </w:pPr>
      <w:r>
        <w:t xml:space="preserve">a) nach § 33 Abs. 1, § 103 Abs. 2 Satz 1 und § 107 des Jugendgerichtsgesetzes oder</w:t>
      </w:r>
    </w:p>
    <w:p>
      <w:pPr>
        <w:ind w:left="780"/>
      </w:pPr>
      <w:r>
        <w:t xml:space="preserve">b) als Jugendschutzsachen (§ 26 Abs. 1 Satz 1, § 74b Satz 1 des Gerichtsverfassungsgesetzes)</w:t>
      </w:r>
    </w:p>
    <w:p>
      <w:pPr>
        <w:ind w:left="420"/>
      </w:pPr>
      <w:r>
        <w:t xml:space="preserve">vor die Jugendgerichte gehören, gegenüber den für allgemeine Strafsachen zuständigen Gerichten gleicher Ordnung</w:t>
      </w:r>
    </w:p>
    <w:p>
      <w:r>
        <w:t xml:space="preserve">Gerichten höherer Ordnung gleich.</w:t>
      </w:r>
    </w:p>
    <w:p>
      <w:r>
        <w:rPr>
          <w:color w:val="555555"/>
          <w:sz w:val="17"/>
        </w:rPr>
        <w:t xml:space="preserve">Zitiervorschlag: § 209a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https://recht.nulegal.eu/gesetze/StPO/209a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