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207 StPO — Inhalt des Eröffnungsbeschlusses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dem Beschluß, durch den das Hauptverfahren eröffnet wird, läßt das Gericht die Anklage zur Hauptverhandlung zu und bezeichnet das Gericht, vor dem die Hauptverhandlung stattfinden soll.</w:t>
      </w:r>
    </w:p>
    <w:p>
      <w:r>
        <w:t xml:space="preserve">(2) Das Gericht legt in dem Beschluß dar, mit welchen Änderungen es die Anklage zur Hauptverhandlung zuläßt, wenn</w:t>
      </w:r>
    </w:p>
    <w:p>
      <w:pPr>
        <w:ind w:left="420"/>
      </w:pPr>
      <w:r>
        <w:t xml:space="preserve">1. wegen mehrerer Taten Anklage erhoben ist und wegen einzelner von ihnen die Eröffnung des Hauptverfahrens abgelehnt wird,</w:t>
      </w:r>
    </w:p>
    <w:p>
      <w:pPr>
        <w:ind w:left="420"/>
      </w:pPr>
      <w:r>
        <w:t xml:space="preserve">2. die Verfolgung nach § 154a auf einzelne abtrennbare Teile einer Tat beschränkt wird oder solche Teile in das Verfahren wieder einbezogen werden,</w:t>
      </w:r>
    </w:p>
    <w:p>
      <w:pPr>
        <w:ind w:left="420"/>
      </w:pPr>
      <w:r>
        <w:t xml:space="preserve">3. die Tat rechtlich abweichend von der Anklageschrift gewürdigt wird oder</w:t>
      </w:r>
    </w:p>
    <w:p>
      <w:pPr>
        <w:ind w:left="420"/>
      </w:pPr>
      <w:r>
        <w:t xml:space="preserve">4. die Verfolgung nach § 154a auf einzelne von mehreren Gesetzesverletzungen, die durch dieselbe Straftat begangen worden sind, beschränkt wird oder solche Gesetzesverletzungen in das Verfahren wieder einbezogen werden.</w:t>
      </w:r>
    </w:p>
    <w:p>
      <w:r>
        <w:t xml:space="preserve">(3) In den Fällen des Absatzes 2 Nr. 1 und 2 reicht die Staatsanwaltschaft eine dem Beschluß entsprechende neue Anklageschrift ein. Von der Darstellung des wesentlichen Ergebnisses der Ermittlungen kann abgesehen werden.</w:t>
      </w:r>
    </w:p>
    <w:p>
      <w:r>
        <w:t xml:space="preserve">(4) Das Gericht beschließt zugleich von Amts wegen über die Anordnung oder Fortdauer der Untersuchungshaft oder der einstweiligen Unterbringung.</w:t>
      </w:r>
    </w:p>
    <w:p>
      <w:r>
        <w:rPr>
          <w:color w:val="555555"/>
          <w:sz w:val="17"/>
        </w:rPr>
        <w:t xml:space="preserve">Zitiervorschlag: § 207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https://recht.nulegal.eu/gesetze/StPO/207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