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204 StPO — Nichteröffnungsbeschluss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Beschließt das Gericht, das Hauptverfahren nicht zu eröffnen, so muß aus dem Beschluß hervorgehen, ob er auf tatsächlichen oder auf Rechtsgründen beruht.</w:t>
      </w:r>
    </w:p>
    <w:p>
      <w:r>
        <w:t xml:space="preserve">(2) Der Beschluß ist dem Angeschuldigten bekanntzumachen.</w:t>
      </w:r>
    </w:p>
    <w:p>
      <w:r>
        <w:rPr>
          <w:color w:val="555555"/>
          <w:sz w:val="17"/>
        </w:rPr>
        <w:t xml:space="preserve">Zitiervorschlag: § 204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