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199 StPO — Entscheidung über die Eröffnung des Hauptverfahrens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für die Hauptverhandlung zuständige Gericht entscheidet darüber, ob das Hauptverfahren zu eröffnen oder das Verfahren vorläufig einzustellen ist.</w:t>
      </w:r>
    </w:p>
    <w:p>
      <w:r>
        <w:t xml:space="preserve">(2) Die Anklageschrift enthält den Antrag, das Hauptverfahren zu eröffnen. Mit ihr werden die Akten dem Gericht vorgelegt.</w:t>
      </w:r>
    </w:p>
    <w:p>
      <w:r>
        <w:rPr>
          <w:color w:val="555555"/>
          <w:sz w:val="17"/>
        </w:rPr>
        <w:t xml:space="preserve">Zitiervorschlag: § 199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https://recht.nulegal.eu/gesetze/StPO/199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