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StPO — Verwerfung des Antrags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Ergibt sich kein genügender Anlaß zur Erhebung der öffentlichen Klage, so verwirft das Gericht den Antrag und setzt den Antragsteller, die Staatsanwaltschaft und den Beschuldigten von der Verwerfung in Kenntnis.</w:t>
      </w:r>
    </w:p>
    <w:p>
      <w:r>
        <w:t xml:space="preserve">(2) Ist der Antrag verworfen, so kann die öffentliche Klage nur auf Grund neuer Tatsachen oder Beweismittel erhoben werden.</w:t>
      </w:r>
    </w:p>
    <w:p>
      <w:r>
        <w:rPr>
          <w:color w:val="555555"/>
          <w:sz w:val="17"/>
        </w:rPr>
        <w:t xml:space="preserve">Zitiervorschlag: § 174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