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170 StPO — Entscheidung über eine Anklageerhebung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Bieten die Ermittlungen genügenden Anlaß zur Erhebung der öffentlichen Klage, so erhebt die Staatsanwaltschaft sie durch Einreichung einer Anklageschrift bei dem zuständigen Gericht.</w:t>
      </w:r>
    </w:p>
    <w:p>
      <w:r>
        <w:t xml:space="preserve">(2) Andernfalls stellt die Staatsanwaltschaft das Verfahren ein. Hiervon setzt sie den Beschuldigten in Kenntnis, wenn er als solcher vernommen worden ist oder ein Haftbefehl gegen ihn erlassen war; dasselbe gilt, wenn er um einen Bescheid gebeten hat oder wenn ein besonderes Interesse an der Bekanntgabe ersichtlich ist.</w:t>
      </w:r>
    </w:p>
    <w:p>
      <w:r>
        <w:rPr>
          <w:color w:val="555555"/>
          <w:sz w:val="17"/>
        </w:rPr>
        <w:t xml:space="preserve">Zitiervorschlag: § 170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