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163g StPO — Automatische Kennzeichenerfassung</w:t>
      </w:r>
    </w:p>
    <w:p>
      <w:r>
        <w:rPr>
          <w:color w:val="555555"/>
          <w:sz w:val="18"/>
        </w:rPr>
        <w:t xml:space="preserve">Strafprozeßordnung</w:t>
      </w:r>
    </w:p>
    <w:p>
      <w:r>
        <w:rPr>
          <w:color w:val="555555"/>
          <w:sz w:val="18"/>
        </w:rPr>
        <w:t xml:space="preserve">Stand: 01.07.2021 (konsolidierte Textfassung, kein amtliches Inkrafttretensdatum)</w:t>
      </w:r>
    </w:p>
    <w:p>
      <w:r>
        <w:t xml:space="preserve">(1) Örtlich begrenzt dürfen im öffentlichen Verkehrsraum ohne das Wissen der betroffenen Personen Kennzeichen von Kraftfahrzeugen sowie Ort, Datum, Uhrzeit und Fahrtrichtung durch den Einsatz technischer Mittel automatisch erhoben werden, wenn zureichende tatsächliche Anhaltspunkte dafür vorliegen, dass eine Straftat von erheblicher Bedeutung begangen worden ist, und die Annahme gerechtfertigt ist, dass diese Maßnahme zur Ermittlung der Identität oder des Aufenthaltsorts des Beschuldigten führen kann. Die automatische Datenerhebung darf nur vorübergehend und nicht flächendeckend erfolgen.</w:t>
      </w:r>
    </w:p>
    <w:p>
      <w:r>
        <w:t xml:space="preserve">(2) Die nach Absatz 1 erhobenen Kennzeichen von Kraftfahrzeugen dürfen automatisch abgeglichen werden mit Kennzeichen von Kraftfahrzeugen,</w:t>
      </w:r>
    </w:p>
    <w:p>
      <w:pPr>
        <w:ind w:left="420"/>
      </w:pPr>
      <w:r>
        <w:t xml:space="preserve">1. die auf den Beschuldigten zugelassen sind oder von ihm genutzt werden oder</w:t>
      </w:r>
    </w:p>
    <w:p>
      <w:pPr>
        <w:ind w:left="420"/>
      </w:pPr>
      <w:r>
        <w:t xml:space="preserve">2. die auf andere Personen als den Beschuldigten zugelassen sind oder von ihnen genutzt werden, wenn aufgrund bestimmter Tatsachen anzunehmen ist, dass sie mit dem Beschuldigten in Verbindung stehen oder eine solche Verbindung hergestellt wird, und die Ermittlung des Aufenthaltsortes des Beschuldigten auf andere Weise erheblich weniger erfolgversprechend oder wesentlich erschwert wäre.</w:t>
      </w:r>
    </w:p>
    <w:p>
      <w:r>
        <w:t xml:space="preserve">Der automatische Abgleich hat unverzüglich nach der automatischen Datenerhebung nach Absatz 1 zu erfolgen. Im Trefferfall ist unverzüglich die Übereinstimmung zwischen den nach Absatz 1 erhobenen Kennzeichen und den in Satz 1 bezeichneten weiteren Kennzeichen manuell zu überprüfen. Wenn kein Treffer vorliegt oder die manuelle Überprüfung den Treffer nicht bestätigt, sind die nach Absatz 1 erhobenen Daten sofort und spurenlos zu löschen.</w:t>
      </w:r>
    </w:p>
    <w:p>
      <w:r>
        <w:t xml:space="preserve">(3) Die Anordnung der Maßnahmen nach den Absätzen 1 und 2 ergeht schriftlich durch die Staatsanwaltschaft. Sie muss das Vorliegen der Voraussetzungen der Maßnahmen darlegen und diejenigen Kennzeichen, mit denen die automatisch erhobenen Daten nach Absatz 2 Satz 1 abgeglichen werden sollen, genau bezeichnen. Die örtliche Begrenzung im öffentlichen Verkehrsraum (Absatz 1 Satz 1) ist zu benennen und die Anordnung ist zu befristen. Bei Gefahr im Verzug darf die Anordnung auch mündlich und durch die Ermittlungspersonen der Staatsanwaltschaft (§ 152 des Gerichtsverfassungsgesetzes) ergehen; in diesem Fall sind die schriftlichen Darlegungen nach den Sätzen 2 und 3 binnen drei Tagen vom Anordnenden nachzuholen.</w:t>
      </w:r>
    </w:p>
    <w:p>
      <w:r>
        <w:t xml:space="preserve">(4) Liegen die Voraussetzungen der Anordnung nicht mehr vor oder ist der Zweck der Maßnahmen erreicht, sind diese unverzüglich zu beenden.</w:t>
      </w:r>
    </w:p>
    <w:p>
      <w:r>
        <w:rPr>
          <w:color w:val="555555"/>
          <w:sz w:val="17"/>
        </w:rPr>
        <w:t xml:space="preserve">Zitiervorschlag: § 163g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