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163b StPO — Maßnahmen zur Identitätsfeststellung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jemand einer Straftat verdächtig, so können die Staatsanwaltschaft und die Beamten des Polizeidienstes die zur Feststellung seiner Identität erforderlichen Maßnahmen treffen; § 163a Abs. 4 Satz 1 gilt entsprechend. Der Verdächtige darf festgehalten werden, wenn die Identität sonst nicht oder nur unter erheblichen Schwierigkeiten festgestellt werden kann. Unter den Voraussetzungen von Satz 2 sind auch die Durchsuchung der Person des Verdächtigen und der von ihm mitgeführten Sachen sowie die Durchführung erkennungsdienstlicher Maßnahmen zulässig.</w:t>
      </w:r>
    </w:p>
    <w:p>
      <w:r>
        <w:t xml:space="preserve">(2) Wenn und soweit dies zur Aufklärung einer Straftat geboten ist, kann auch die Identität einer Person festgestellt werden, die einer Straftat nicht verdächtig ist; § 69 Abs. 1 Satz 2 gilt entsprechend. Maßnahmen der in Absatz 1 Satz 2 bezeichneten Art dürfen nicht getroffen werden, wenn sie zur Bedeutung der Sache außer Verhältnis stehen; Maßnahmen der in Absatz 1 Satz 3 bezeichneten Art dürfen nicht gegen den Willen der betroffenen Person getroffen werden.</w:t>
      </w:r>
    </w:p>
    <w:p>
      <w:r>
        <w:rPr>
          <w:color w:val="555555"/>
          <w:sz w:val="17"/>
        </w:rPr>
        <w:t xml:space="preserve">Zitiervorschlag: § 163b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https://recht.nulegal.eu/gesetze/StPO/163b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