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155b StPO — Durchführung des Täter-Opfer-Ausgleichs</w:t>
      </w:r>
    </w:p>
    <w:p>
      <w:r>
        <w:rPr>
          <w:color w:val="555555"/>
          <w:sz w:val="18"/>
        </w:rPr>
        <w:t xml:space="preserve">Strafprozeßordnung</w:t>
      </w:r>
    </w:p>
    <w:p>
      <w:r>
        <w:rPr>
          <w:color w:val="555555"/>
          <w:sz w:val="18"/>
        </w:rPr>
        <w:t xml:space="preserve">Stand: 10.12.2019 (konsolidierte Textfassung, kein amtliches Inkrafttretensdatum)</w:t>
      </w:r>
    </w:p>
    <w:p>
      <w:r>
        <w:t xml:space="preserve">(1) Die Staatsanwaltschaft und das Gericht können zum Zweck des Täter-Opfer-Ausgleichs oder der Schadenswiedergutmachung einer von ihnen mit der Durchführung beauftragten Stelle von Amts wegen oder auf deren Antrag die hierfür erforderlichen personenbezogenen Daten übermitteln. Der beauftragten Stelle kann Akteneinsicht gewährt werden, soweit die Erteilung von Auskünften einen unverhältnismäßigen Aufwand erfordern würde. Eine nicht-öffentliche Stelle ist darauf hinzuweisen, dass sie die übermittelten Daten nur für Zwecke des Täter-Opfer-Ausgleichs oder der Schadenswiedergutmachung verwenden darf.</w:t>
      </w:r>
    </w:p>
    <w:p>
      <w:r>
        <w:t xml:space="preserve">(2) Die beauftragte Stelle darf die nach Absatz 1 übermittelten personenbezogenen Daten nur verarbeiten, soweit dies für die Durchführung des Täter-Opfer-Ausgleichs oder der Schadenswiedergutmachung erforderlich ist und schutzwürdige Interessen der betroffenen Person nicht entgegenstehen. Sie darf personenbezogene Daten nur verarbeiten, soweit dies für die Durchführung des Täter-Opfer-Ausgleichs oder der Schadenswiedergutmachung erforderlich ist und die betroffene Person eingewilligt hat. Nach Abschluss ihrer Tätigkeit berichtet sie in dem erforderlichen Umfang der Staatsanwaltschaft oder dem Gericht.</w:t>
      </w:r>
    </w:p>
    <w:p>
      <w:r>
        <w:t xml:space="preserve">(3) Ist die beauftragte Stelle eine nichtöffentliche Stelle, finden die Vorschriften der Verordnung (EU) 2016/679 und des Bundesdatenschutzgesetzes auch dann Anwendung, wenn die personenbezogenen Daten nicht automatisiert verarbeitet werden und nicht in einem Dateisystem gespeichert sind oder gespeichert werden.</w:t>
      </w:r>
    </w:p>
    <w:p>
      <w:r>
        <w:t xml:space="preserve">(4) Die Unterlagen mit den in Absatz 2 Satz 1 und 2 bezeichneten personenbezogenen Daten sind von der beauftragten Stelle nach Ablauf eines Jahres seit Abschluss des Strafverfahrens zu vernichten. Die Staatsanwaltschaft oder das Gericht teilt der beauftragten Stelle unverzüglich von Amts wegen den Zeitpunkt des Verfahrensabschlusses mit.</w:t>
      </w:r>
    </w:p>
    <w:p>
      <w:r>
        <w:rPr>
          <w:color w:val="555555"/>
          <w:sz w:val="17"/>
        </w:rPr>
        <w:t xml:space="preserve">Zitiervorschlag: § 155b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https://recht.nulegal.eu/gesetze/StPO/155b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