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155a StPO — Täter-Opfer-Ausgleich</w:t>
      </w:r>
    </w:p>
    <w:p>
      <w:r>
        <w:rPr>
          <w:color w:val="555555"/>
          <w:sz w:val="18"/>
        </w:rPr>
        <w:t xml:space="preserve">Strafprozeßordnung</w:t>
      </w:r>
    </w:p>
    <w:p>
      <w:r>
        <w:rPr>
          <w:color w:val="555555"/>
          <w:sz w:val="18"/>
        </w:rPr>
        <w:t xml:space="preserve">Stand: 10.06.2019 (konsolidierte Textfassung, kein amtliches Inkrafttretensdatum)</w:t>
      </w:r>
    </w:p>
    <w:p>
      <w:r>
        <w:t xml:space="preserve">Die Staatsanwaltschaft und das Gericht sollen in jedem Stadium des Verfahrens die Möglichkeiten prüfen, einen Ausgleich zwischen Beschuldigtem und Verletztem zu erreichen. In geeigneten Fällen sollen sie darauf hinwirken. Gegen den ausdrücklichen Willen des Verletzten darf die Eignung nicht angenommen werden.</w:t>
      </w:r>
    </w:p>
    <w:p>
      <w:r>
        <w:rPr>
          <w:color w:val="555555"/>
          <w:sz w:val="17"/>
        </w:rPr>
        <w:t xml:space="preserve">Zitiervorschlag: § 155a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https://recht.nulegal.eu/gesetze/StPO/155a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