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StPO — Zulassung von Beiständen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Ehegatte oder Lebenspartner eines Angeklagten ist in der Hauptverhandlung als Beistand zuzulassen und auf sein Verlangen zu hören. Zeit und Ort der Hauptverhandlung sollen ihm rechtzeitig mitgeteilt werden.</w:t>
      </w:r>
    </w:p>
    <w:p>
      <w:r>
        <w:t xml:space="preserve">(2) Dasselbe gilt von dem gesetzlichen Vertreter eines Angeklagten.</w:t>
      </w:r>
    </w:p>
    <w:p>
      <w:r>
        <w:t xml:space="preserve">(3) Im Vorverfahren unterliegt die Zulassung solcher Beistände dem richterlichen Ermessen.</w:t>
      </w:r>
    </w:p>
    <w:p>
      <w:r>
        <w:rPr>
          <w:color w:val="555555"/>
          <w:sz w:val="17"/>
        </w:rPr>
        <w:t xml:space="preserve">Zitiervorschlag: § 149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