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134 StPO — Vorführung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sofortige Vorführung des Beschuldigten kann verfügt werden, wenn Gründe vorliegen, die den Erlaß eines Haftbefehls rechtfertigen würden.</w:t>
      </w:r>
    </w:p>
    <w:p>
      <w:r>
        <w:t xml:space="preserve">(2) In dem Vorführungsbefehl ist der Beschuldigte genau zu bezeichnen und die ihm zur Last gelegte Straftat sowie der Grund der Vorführung anzugeben.</w:t>
      </w:r>
    </w:p>
    <w:p>
      <w:r>
        <w:rPr>
          <w:color w:val="555555"/>
          <w:sz w:val="17"/>
        </w:rPr>
        <w:t xml:space="preserve">Zitiervorschlag: § 134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