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StPO — Ladung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Beschuldigte ist zur Vernehmung schriftlich zu laden.</w:t>
      </w:r>
    </w:p>
    <w:p>
      <w:r>
        <w:t xml:space="preserve">(2) Die Ladung kann unter der Androhung geschehen, daß im Falle des Ausbleibens seine Vorführung erfolgen werde.</w:t>
      </w:r>
    </w:p>
    <w:p>
      <w:r>
        <w:rPr>
          <w:color w:val="555555"/>
          <w:sz w:val="17"/>
        </w:rPr>
        <w:t xml:space="preserve">Zitiervorschlag: § 133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