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131c StPO — Anordnung und Bestätigung von Fahndungsmaßnahmen</w:t>
      </w:r>
    </w:p>
    <w:p>
      <w:r>
        <w:rPr>
          <w:color w:val="555555"/>
          <w:sz w:val="18"/>
        </w:rPr>
        <w:t xml:space="preserve">Strafprozeßordnung</w:t>
      </w:r>
    </w:p>
    <w:p>
      <w:r>
        <w:rPr>
          <w:color w:val="555555"/>
          <w:sz w:val="18"/>
        </w:rPr>
        <w:t xml:space="preserve">Stand: 10.06.2019 (konsolidierte Textfassung, kein amtliches Inkrafttretensdatum)</w:t>
      </w:r>
    </w:p>
    <w:p>
      <w:r>
        <w:t xml:space="preserve">(1) Fahndungen nach § 131a Abs. 3 und § 131b dürfen nur durch den Richter, bei Gefahr im Verzug auch durch die Staatsanwaltschaft und ihre Ermittlungspersonen (§ 152 des Gerichtsverfassungsgesetzes) angeordnet werden. Fahndungen nach § 131a Abs. 1 und 2 bedürfen der Anordnung durch die Staatsanwaltschaft; bei Gefahr im Verzug dürfen sie auch durch ihre Ermittlungspersonen (§ 152 des Gerichtsverfassungsgesetzes) angeordnet werden.</w:t>
      </w:r>
    </w:p>
    <w:p>
      <w:r>
        <w:t xml:space="preserve">(2) In Fällen andauernder Veröffentlichung in elektronischen Medien sowie bei wiederholter Veröffentlichung im Fernsehen oder in periodischen Druckwerken tritt die Anordnung der Staatsanwaltschaft und ihrer Ermittlungspersonen (§ 152 des Gerichtsverfassungsgesetzes) nach Absatz 1 Satz 1 außer Kraft, wenn sie nicht binnen einer Woche von dem Richter bestätigt wird. Im Übrigen treten Fahndungsanordnungen der Ermittlungspersonen der Staatsanwaltschaft (§ 152 des Gerichtsverfassungsgesetzes) außer Kraft, wenn sie nicht binnen einer Woche von der Staatsanwaltschaft bestätigt werden.</w:t>
      </w:r>
    </w:p>
    <w:p>
      <w:r>
        <w:rPr>
          <w:color w:val="555555"/>
          <w:sz w:val="17"/>
        </w:rPr>
        <w:t xml:space="preserve">Zitiervorschlag: § 131c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https://recht.nulegal.eu/gesetze/StPO/131c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