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 StPO — Ausschreibung zur Festnahme</w:t>
      </w:r>
    </w:p>
    <w:p>
      <w:r>
        <w:rPr>
          <w:color w:val="555555"/>
          <w:sz w:val="18"/>
        </w:rPr>
        <w:t xml:space="preserve">Strafprozeßordnung</w:t>
      </w:r>
    </w:p>
    <w:p>
      <w:r>
        <w:rPr>
          <w:color w:val="555555"/>
          <w:sz w:val="18"/>
        </w:rPr>
        <w:t xml:space="preserve">Stand: 10.06.2019 (konsolidierte Textfassung, kein amtliches Inkrafttretensdatum)</w:t>
      </w:r>
    </w:p>
    <w:p>
      <w:r>
        <w:t xml:space="preserve">(1) Auf Grund eines Haftbefehls oder eines Unterbringungsbefehls können der Richter oder die Staatsanwaltschaft und, wenn Gefahr im Verzug ist, ihre Ermittlungspersonen (§ 152 des Gerichtsverfassungsgesetzes) die Ausschreibung zur Festnahme veranlassen.</w:t>
      </w:r>
    </w:p>
    <w:p>
      <w:r>
        <w:t xml:space="preserve">(2) Liegen die Voraussetzungen eines Haftbefehls oder Unterbringungsbefehls vor, dessen Erlass nicht ohne Gefährdung des Fahndungserfolges abgewartet werden kann, so können die Staatsanwaltschaft und ihre Ermittlungspersonen (§ 152 des Gerichtsverfassungsgesetzes) Maßnahmen nach Absatz 1 veranlassen, wenn dies zur vorläufigen Festnahme erforderlich ist. Die Entscheidung über den Erlass des Haft- oder Unterbringungsbefehls ist unverzüglich, spätestens binnen einer Woche herbeizuführen.</w:t>
      </w:r>
    </w:p>
    <w:p>
      <w:r>
        <w:t xml:space="preserve">(3) Bei einer Straftat von erheblicher Bedeutung können in den Fällen der Absätze 1 und 2 der Richter und die Staatsanwaltschaft auch Öffentlichkeitsfahndungen veranlassen, wenn andere Formen der Aufenthaltsermittlung erheblich weniger Erfolg versprechend oder wesentlich erschwert wären. Unter den gleichen Voraussetzungen steht diese Befugnis bei Gefahr im Verzug und wenn der Richter oder die Staatsanwaltschaft nicht rechtzeitig erreichbar ist auch den Ermittlungspersonen der Staatsanwaltschaft (§ 152 des Gerichtsverfassungsgesetzes) zu. In den Fällen des Satzes 2 ist die Entscheidung der Staatsanwaltschaft unverzüglich herbeizuführen. Die Anordnung tritt außer Kraft, wenn diese Bestätigung nicht binnen 24 Stunden erfolgt.</w:t>
      </w:r>
    </w:p>
    <w:p>
      <w:r>
        <w:t xml:space="preserve">(4) Der Beschuldigte ist möglichst genau zu bezeichnen und soweit erforderlich zu beschreiben; eine Abbildung darf beigefügt werden. Die Tat, derer er verdächtig ist, Ort und Zeit ihrer Begehung sowie Umstände, die für die Ergreifung von Bedeutung sein können, können angegeben werden.</w:t>
      </w:r>
    </w:p>
    <w:p>
      <w:r>
        <w:t xml:space="preserve">(5) Die §§ 115 und 115a gelten entsprechend.</w:t>
      </w:r>
    </w:p>
    <w:p>
      <w:r>
        <w:rPr>
          <w:color w:val="555555"/>
          <w:sz w:val="17"/>
        </w:rPr>
        <w:t xml:space="preserve">Zitiervorschlag: § 131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