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115a StPO — Vorführung vor den Richter des nächsten Amtsgerichts</w:t>
      </w:r>
    </w:p>
    <w:p>
      <w:r>
        <w:rPr>
          <w:color w:val="555555"/>
          <w:sz w:val="18"/>
        </w:rPr>
        <w:t xml:space="preserve">Strafprozeßordnung</w:t>
      </w:r>
    </w:p>
    <w:p>
      <w:r>
        <w:rPr>
          <w:color w:val="555555"/>
          <w:sz w:val="18"/>
        </w:rPr>
        <w:t xml:space="preserve">Stand: 10.06.2019 (konsolidierte Textfassung, kein amtliches Inkrafttretensdatum)</w:t>
      </w:r>
    </w:p>
    <w:p>
      <w:r>
        <w:t xml:space="preserve">(1) Kann der Beschuldigte nicht spätestens am Tag nach der Ergreifung dem zuständigen Gericht vorgeführt werden, so ist er unverzüglich, spätestens am Tage nach der Ergreifung, dem nächsten Amtsgericht vorzuführen.</w:t>
      </w:r>
    </w:p>
    <w:p>
      <w:r>
        <w:t xml:space="preserve">(2) Das Gericht hat den Beschuldigten unverzüglich nach der Vorführung, spätestens am nächsten Tage, zu vernehmen. Bei der Vernehmung wird, soweit möglich, § 115 Abs. 3 angewandt. Ergibt sich bei der Vernehmung, dass der Haftbefehl aufgehoben, seine Aufhebung durch die Staatsanwaltschaft beantragt (§ 120 Abs. 3) oder der Ergriffene nicht die in dem Haftbefehl bezeichnete Person ist, so ist der Ergriffene freizulassen. Erhebt dieser sonst gegen den Haftbefehl oder dessen Vollzug Einwendungen, die nicht offensichtlich unbegründet sind, oder hat das Gericht Bedenken gegen die Aufrechterhaltung der Haft, so teilt es diese dem zuständigen Gericht und der zuständigen Staatsanwaltschaft unverzüglich und auf dem nach den Umständen angezeigten schnellsten Wege mit; das zuständige Gericht prüft unverzüglich, ob der Haftbefehl aufzuheben oder außer Vollzug zu setzen ist.</w:t>
      </w:r>
    </w:p>
    <w:p>
      <w:r>
        <w:t xml:space="preserve">(3) Wird der Beschuldigte nicht freigelassen, so ist er auf sein Verlangen dem zuständigen Gericht zur Vernehmung nach § 115 vorzuführen. Der Beschuldigte ist auf dieses Recht hinzuweisen und gemäß § 115 Abs. 4 zu belehren.</w:t>
      </w:r>
    </w:p>
    <w:p>
      <w:r>
        <w:rPr>
          <w:color w:val="555555"/>
          <w:sz w:val="17"/>
        </w:rPr>
        <w:t xml:space="preserve">Zitiervorschlag: § 115a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