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114b StPO — Belehrung des verhafteten Beschuldigten</w:t>
      </w:r>
    </w:p>
    <w:p>
      <w:r>
        <w:rPr>
          <w:color w:val="555555"/>
          <w:sz w:val="18"/>
        </w:rPr>
        <w:t xml:space="preserve">Strafprozeßordnung</w:t>
      </w:r>
    </w:p>
    <w:p>
      <w:r>
        <w:rPr>
          <w:color w:val="555555"/>
          <w:sz w:val="18"/>
        </w:rPr>
        <w:t xml:space="preserve">Stand: 17.07.2024 (konsolidierte Textfassung, kein amtliches Inkrafttretensdatum)</w:t>
      </w:r>
    </w:p>
    <w:p>
      <w:r>
        <w:t xml:space="preserve">(1) Der verhaftete Beschuldigte ist unverzüglich und schriftlich in einer für ihn verständlichen Sprache über seine Rechte zu belehren. Ist eine schriftliche Belehrung erkennbar nicht ausreichend, hat zudem eine mündliche Belehrung zu erfolgen. Entsprechend ist zu verfahren, wenn eine schriftliche Belehrung nicht möglich ist; sie soll jedoch nachgeholt werden, sofern dies in zumutbarer Weise möglich ist. Der Erhalt der Belehrung ist durch den Beschuldigten schriftlich zu bestätigen oder von der Staatsanwaltschaft oder ihren Ermittlungspersonen in Gegenwart des Beschuldigten zu protokollieren oder auf sonstige Weise zu dokumentieren.</w:t>
      </w:r>
    </w:p>
    <w:p>
      <w:r>
        <w:t xml:space="preserve">(2) In der Belehrung nach Absatz 1 ist der Beschuldigte darauf hinzuweisen, dass er</w:t>
      </w:r>
    </w:p>
    <w:p>
      <w:pPr>
        <w:ind w:left="420"/>
      </w:pPr>
      <w:r>
        <w:t xml:space="preserve">1. unverzüglich, spätestens am Tag nach der Ergreifung, dem Gericht vorzuführen ist, das ihn zu vernehmen und über seine weitere Inhaftierung zu entscheiden hat,</w:t>
      </w:r>
    </w:p>
    <w:p>
      <w:pPr>
        <w:ind w:left="420"/>
      </w:pPr>
      <w:r>
        <w:t xml:space="preserve">2. das Recht hat, sich zur Beschuldigung zu äußern oder nicht zur Sache auszusagen,</w:t>
      </w:r>
    </w:p>
    <w:p>
      <w:pPr>
        <w:ind w:left="420"/>
      </w:pPr>
      <w:r>
        <w:t xml:space="preserve">3. zu seiner Entlastung einzelne Beweiserhebungen beantragen kann,</w:t>
      </w:r>
    </w:p>
    <w:p>
      <w:pPr>
        <w:ind w:left="420"/>
      </w:pPr>
      <w:r>
        <w:t xml:space="preserve">4. jederzeit, auch schon vor seiner Vernehmung, einen von ihm zu wählenden Verteidiger befragen kann; dabei sind ihm Informationen zur Verfügung zu stellen, die es ihm erleichtern, einen Verteidiger zu kontaktieren; auf bestehende anwaltliche Notdienste ist dabei hinzuweisen,</w:t>
      </w:r>
    </w:p>
    <w:p>
      <w:pPr>
        <w:ind w:left="420"/>
      </w:pPr>
      <w:r>
        <w:t xml:space="preserve">4a. in den Fällen des § 140 die Bestellung eines Pflichtverteidigers nach Maßgabe des § 141 Absatz 1 und des § 142 Absatz 1 beantragen kann; dabei ist auf die mögliche Kostenfolge des § 465 hinzuweisen,</w:t>
      </w:r>
    </w:p>
    <w:p>
      <w:pPr>
        <w:ind w:left="420"/>
      </w:pPr>
      <w:r>
        <w:t xml:space="preserve">5. das Recht hat, die Untersuchung durch einen Arzt oder eine Ärztin seiner Wahl zu verlangen,</w:t>
      </w:r>
    </w:p>
    <w:p>
      <w:pPr>
        <w:ind w:left="420"/>
      </w:pPr>
      <w:r>
        <w:t xml:space="preserve">6. einen Angehörigen oder eine Person seines Vertrauens benachrichtigen kann, soweit der Zweck der Untersuchung dadurch nicht erheblich gefährdet wird,</w:t>
      </w:r>
    </w:p>
    <w:p>
      <w:pPr>
        <w:ind w:left="420"/>
      </w:pPr>
      <w:r>
        <w:t xml:space="preserve">7. nach Maßgabe des § 147 Absatz 4 beantragen kann, die Akten einzusehen und unter Aufsicht amtlich verwahrte Beweisstücke zu besichtigen, soweit er keinen Verteidiger hat, und</w:t>
      </w:r>
    </w:p>
    <w:p>
      <w:pPr>
        <w:ind w:left="420"/>
      </w:pPr>
      <w:r>
        <w:t xml:space="preserve">8. bei Aufrechterhaltung der Untersuchungshaft nach Vorführung vor den zuständigen Richter</w:t>
      </w:r>
    </w:p>
    <w:p>
      <w:pPr>
        <w:ind w:left="780"/>
      </w:pPr>
      <w:r>
        <w:t xml:space="preserve">a) eine Beschwerde gegen den Haftbefehl einlegen oder eine Haftprüfung (§ 117 Absatz 1 und 2) und eine mündliche Verhandlung (§ 118 Absatz 1 und 2) beantragen kann,</w:t>
      </w:r>
    </w:p>
    <w:p>
      <w:pPr>
        <w:ind w:left="780"/>
      </w:pPr>
      <w:r>
        <w:t xml:space="preserve">b) bei Unstatthaftigkeit der Beschwerde eine gerichtliche Entscheidung nach § 119 Absatz 5 beantragen kann und</w:t>
      </w:r>
    </w:p>
    <w:p>
      <w:pPr>
        <w:ind w:left="780"/>
      </w:pPr>
      <w:r>
        <w:t xml:space="preserve">c) gegen behördliche Entscheidungen und Maßnahmen im Untersuchungshaftvollzug eine gerichtliche Entscheidung nach § 119a Absatz 1 beantragen kann.</w:t>
      </w:r>
    </w:p>
    <w:p>
      <w:r>
        <w:t xml:space="preserve">Der Beschuldigte ist auf das Akteneinsichtsrecht des Verteidigers nach § 147 hinzuweisen. Ein Beschuldigter, der der deutschen Sprache nicht hinreichend mächtig ist, ist in einer ihm verständlichen Sprache darauf hinzuweisen, dass er nach Maßgabe des § 187 Absatz 1 bis 3 des Gerichtsverfassungsgesetzes für das gesamte Strafverfahren die unentgeltliche Hinzuziehung eines Dolmetschers oder Übersetzers beanspruchen kann; ein hör- oder sprachbehinderter Beschuldigter ist auf sein Wahlrecht nach § 186 Absatz 1 und 2 des Gerichtsverfassungsgesetzes hinzuweisen. Ein ausländischer Staatsangehöriger ist darüber zu belehren, dass er die Unterrichtung der konsularischen Vertretung seines Heimatstaates verlangen und dieser Mitteilungen zukommen lassen kann.</w:t>
      </w:r>
    </w:p>
    <w:p>
      <w:r>
        <w:rPr>
          <w:color w:val="555555"/>
          <w:sz w:val="17"/>
        </w:rPr>
        <w:t xml:space="preserve">Zitiervorschlag: § 114b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